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304883" w14:textId="476010BF" w:rsidR="00134DC7" w:rsidRDefault="00134DC7">
      <w:pPr>
        <w:rPr>
          <w:rFonts w:cstheme="minorHAnsi"/>
          <w:b/>
          <w:color w:val="7030A0"/>
          <w:sz w:val="36"/>
          <w:szCs w:val="36"/>
        </w:rPr>
      </w:pPr>
      <w:r w:rsidRPr="00336D4E">
        <w:rPr>
          <w:rFonts w:cstheme="minorHAnsi"/>
          <w:b/>
          <w:color w:val="7030A0"/>
          <w:sz w:val="36"/>
          <w:szCs w:val="36"/>
        </w:rPr>
        <w:t>ACCT110</w:t>
      </w:r>
      <w:r w:rsidR="00254E1B">
        <w:rPr>
          <w:rFonts w:cstheme="minorHAnsi"/>
          <w:b/>
          <w:color w:val="7030A0"/>
          <w:sz w:val="36"/>
          <w:szCs w:val="36"/>
        </w:rPr>
        <w:t>81</w:t>
      </w:r>
      <w:r w:rsidRPr="00336D4E">
        <w:rPr>
          <w:rFonts w:cstheme="minorHAnsi"/>
          <w:b/>
          <w:color w:val="7030A0"/>
          <w:sz w:val="36"/>
          <w:szCs w:val="36"/>
        </w:rPr>
        <w:t xml:space="preserve"> Assignment</w:t>
      </w:r>
      <w:r w:rsidR="00A20A18" w:rsidRPr="00336D4E">
        <w:rPr>
          <w:rFonts w:cstheme="minorHAnsi"/>
          <w:b/>
          <w:color w:val="7030A0"/>
          <w:sz w:val="36"/>
          <w:szCs w:val="36"/>
        </w:rPr>
        <w:t xml:space="preserve">: Step </w:t>
      </w:r>
      <w:r w:rsidR="00121CD5">
        <w:rPr>
          <w:rFonts w:cstheme="minorHAnsi"/>
          <w:b/>
          <w:color w:val="7030A0"/>
          <w:sz w:val="36"/>
          <w:szCs w:val="36"/>
        </w:rPr>
        <w:t>3</w:t>
      </w:r>
      <w:r w:rsidR="00A20A18" w:rsidRPr="00336D4E">
        <w:rPr>
          <w:rFonts w:cstheme="minorHAnsi"/>
          <w:b/>
          <w:color w:val="7030A0"/>
          <w:sz w:val="36"/>
          <w:szCs w:val="36"/>
        </w:rPr>
        <w:t xml:space="preserve"> </w:t>
      </w:r>
    </w:p>
    <w:p w14:paraId="349C69D7" w14:textId="5115B9F0" w:rsidR="008602C3" w:rsidRDefault="00B02126">
      <w:pPr>
        <w:rPr>
          <w:rFonts w:cstheme="minorHAnsi"/>
          <w:b/>
          <w:color w:val="7030A0"/>
          <w:sz w:val="24"/>
          <w:szCs w:val="24"/>
        </w:rPr>
      </w:pPr>
      <w:r>
        <w:rPr>
          <w:noProof/>
        </w:rPr>
        <w:drawing>
          <wp:anchor distT="0" distB="0" distL="114300" distR="114300" simplePos="0" relativeHeight="251661312" behindDoc="1" locked="0" layoutInCell="1" allowOverlap="1" wp14:anchorId="14BD174A" wp14:editId="516235FE">
            <wp:simplePos x="0" y="0"/>
            <wp:positionH relativeFrom="margin">
              <wp:posOffset>749300</wp:posOffset>
            </wp:positionH>
            <wp:positionV relativeFrom="paragraph">
              <wp:posOffset>409575</wp:posOffset>
            </wp:positionV>
            <wp:extent cx="4445000" cy="1900555"/>
            <wp:effectExtent l="0" t="0" r="0" b="4445"/>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13915"/>
                    <a:stretch/>
                  </pic:blipFill>
                  <pic:spPr bwMode="auto">
                    <a:xfrm>
                      <a:off x="0" y="0"/>
                      <a:ext cx="4445000" cy="19005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92000" w:rsidRPr="004B792A">
        <w:rPr>
          <w:rFonts w:cstheme="minorHAnsi"/>
          <w:b/>
          <w:color w:val="7030A0"/>
          <w:sz w:val="24"/>
          <w:szCs w:val="24"/>
        </w:rPr>
        <w:t>Melissa Sergiacomi</w:t>
      </w:r>
      <w:r w:rsidR="004B792A" w:rsidRPr="004B792A">
        <w:rPr>
          <w:rFonts w:cstheme="minorHAnsi"/>
          <w:b/>
          <w:color w:val="7030A0"/>
          <w:sz w:val="24"/>
          <w:szCs w:val="24"/>
        </w:rPr>
        <w:t xml:space="preserve"> 12099798</w:t>
      </w:r>
    </w:p>
    <w:p w14:paraId="51B00E10" w14:textId="410BF217" w:rsidR="00625D2A" w:rsidRDefault="001E06B2" w:rsidP="00A257F3">
      <w:pPr>
        <w:spacing w:line="276" w:lineRule="auto"/>
      </w:pPr>
      <w:r>
        <w:rPr>
          <w:rFonts w:cstheme="minorHAnsi"/>
          <w:noProof/>
          <w:sz w:val="16"/>
          <w:szCs w:val="16"/>
        </w:rPr>
        <mc:AlternateContent>
          <mc:Choice Requires="wps">
            <w:drawing>
              <wp:anchor distT="0" distB="0" distL="114300" distR="114300" simplePos="0" relativeHeight="251659264" behindDoc="0" locked="0" layoutInCell="1" allowOverlap="1" wp14:anchorId="2C84FA9C" wp14:editId="2304E3B1">
                <wp:simplePos x="0" y="0"/>
                <wp:positionH relativeFrom="column">
                  <wp:posOffset>5937</wp:posOffset>
                </wp:positionH>
                <wp:positionV relativeFrom="paragraph">
                  <wp:posOffset>37358</wp:posOffset>
                </wp:positionV>
                <wp:extent cx="5706093"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5706093" cy="0"/>
                        </a:xfrm>
                        <a:prstGeom prst="line">
                          <a:avLst/>
                        </a:prstGeom>
                        <a:ln>
                          <a:solidFill>
                            <a:srgbClr val="7030A0"/>
                          </a:solidFill>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line w14:anchorId="5F55082E"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45pt,2.95pt" to="449.7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" strokecolor="#7030a0" strokeweight="1.5pt">
                <v:stroke joinstyle="miter"/>
              </v:line>
            </w:pict>
          </mc:Fallback>
        </mc:AlternateContent>
      </w:r>
      <w:r w:rsidR="001E5CA9">
        <w:t xml:space="preserve">For this assignment I have been given the company </w:t>
      </w:r>
      <w:r w:rsidR="004514CB">
        <w:t xml:space="preserve">Incitec Pivot Limited (IPL) and just like in ACCT11059 </w:t>
      </w:r>
      <w:r w:rsidR="00C63CEB">
        <w:t>it is</w:t>
      </w:r>
      <w:r w:rsidR="004514CB">
        <w:t xml:space="preserve"> a </w:t>
      </w:r>
      <w:r w:rsidR="00F34A42">
        <w:t>company I have never heard of but will become very familiar with over the next few weeks.</w:t>
      </w:r>
      <w:r w:rsidR="007E04E5">
        <w:t xml:space="preserve"> I would have loved to be given a retail company that </w:t>
      </w:r>
      <w:r w:rsidR="005E0997">
        <w:t>I purchase goods or services from to get a greater understanding of their financial statements and annual reports. However</w:t>
      </w:r>
      <w:r w:rsidR="001705B7">
        <w:t>, I am happy to again work with a company that has the agricultural aspect involved, as I grew up</w:t>
      </w:r>
      <w:r w:rsidR="002156E8">
        <w:t xml:space="preserve"> on a</w:t>
      </w:r>
      <w:r w:rsidR="006A4936">
        <w:t>n</w:t>
      </w:r>
      <w:r w:rsidR="002156E8">
        <w:t xml:space="preserve"> agricultural farm.</w:t>
      </w:r>
      <w:r w:rsidR="00222FA7">
        <w:t xml:space="preserve"> </w:t>
      </w:r>
      <w:r w:rsidR="00132CF7">
        <w:t>Although I completed ACCT11059 over twelve months ago now, I have found IPL’s annual reports a little easier to understand then</w:t>
      </w:r>
      <w:r w:rsidR="001C0043">
        <w:t xml:space="preserve"> Select Harvest (my firm for ACCT11059). I believe this is largely</w:t>
      </w:r>
      <w:r w:rsidR="0083257D">
        <w:t xml:space="preserve"> due to the experience of reading through </w:t>
      </w:r>
      <w:r w:rsidR="004B65C5">
        <w:t>an annual report previously</w:t>
      </w:r>
      <w:r w:rsidR="0083257D">
        <w:t xml:space="preserve"> and remembering there is a lot in the report I don’t need to </w:t>
      </w:r>
      <w:r w:rsidR="005A517C">
        <w:t>absorb and that I just need to get a good idea of what is happening in and around IPL</w:t>
      </w:r>
      <w:r w:rsidR="004B65C5">
        <w:t xml:space="preserve"> and of course the financial statements.</w:t>
      </w:r>
    </w:p>
    <w:p w14:paraId="00CCE003" w14:textId="74092057" w:rsidR="00212EF5" w:rsidRDefault="00212EF5" w:rsidP="00A257F3">
      <w:pPr>
        <w:spacing w:line="276" w:lineRule="auto"/>
      </w:pPr>
      <w:r>
        <w:t xml:space="preserve">Researching through IPL’s website, annual </w:t>
      </w:r>
      <w:r w:rsidR="00EA4344">
        <w:t>report,</w:t>
      </w:r>
      <w:r>
        <w:t xml:space="preserve"> and news articles I have learnt</w:t>
      </w:r>
      <w:r w:rsidR="00327E5B">
        <w:t xml:space="preserve"> a lot about</w:t>
      </w:r>
      <w:r w:rsidR="00FB66D0">
        <w:t xml:space="preserve"> the company’s history</w:t>
      </w:r>
      <w:r w:rsidR="000412D6">
        <w:t xml:space="preserve">, </w:t>
      </w:r>
      <w:r w:rsidR="00FB66D0">
        <w:t>what they do</w:t>
      </w:r>
      <w:r w:rsidR="000412D6">
        <w:t xml:space="preserve"> and a little about what they plan to do. IPL is made up of two business; Dyno Nobel and Inc</w:t>
      </w:r>
      <w:r w:rsidR="00EA4344">
        <w:t>i</w:t>
      </w:r>
      <w:r w:rsidR="000412D6">
        <w:t>tec Pivot Fertilisers</w:t>
      </w:r>
      <w:r w:rsidR="005C0A63">
        <w:t>, which are supported by global manufacturing capabilities. Dyno Nobel is a global leader in</w:t>
      </w:r>
      <w:r w:rsidR="00EA4344">
        <w:t xml:space="preserve"> the</w:t>
      </w:r>
      <w:r w:rsidR="005C0A63">
        <w:t xml:space="preserve"> commercial explosives</w:t>
      </w:r>
      <w:r w:rsidR="00EA4344">
        <w:t xml:space="preserve"> industry with 32 manufacturing facilities on 3 continents, including state of the art initiation system facilities in United States, Australia, and Mexico. Dyno Nobel is the only explosive</w:t>
      </w:r>
      <w:r w:rsidR="00352BDD">
        <w:t>s</w:t>
      </w:r>
      <w:r w:rsidR="00A920CD">
        <w:t xml:space="preserve"> provider in the world to offer complete line of commercial explosive products and </w:t>
      </w:r>
      <w:r w:rsidR="00B87F24">
        <w:t xml:space="preserve">services. This is achieved </w:t>
      </w:r>
      <w:r w:rsidR="00A920CD">
        <w:t>by providing a full range of reliable explosive products from manufacturing plants all over the</w:t>
      </w:r>
      <w:r w:rsidR="00B87F24">
        <w:t xml:space="preserve"> world and blasting services from a distribution network unmatched in the industry.</w:t>
      </w:r>
    </w:p>
    <w:p w14:paraId="52189D2F" w14:textId="2AE62025" w:rsidR="008602C3" w:rsidRDefault="00B02126" w:rsidP="00A257F3">
      <w:pPr>
        <w:spacing w:line="276" w:lineRule="auto"/>
      </w:pPr>
      <w:r>
        <w:rPr>
          <w:noProof/>
        </w:rPr>
        <w:drawing>
          <wp:anchor distT="0" distB="0" distL="114300" distR="114300" simplePos="0" relativeHeight="251662336" behindDoc="1" locked="0" layoutInCell="1" allowOverlap="1" wp14:anchorId="2D9CC27F" wp14:editId="596BEE0D">
            <wp:simplePos x="0" y="0"/>
            <wp:positionH relativeFrom="margin">
              <wp:align>left</wp:align>
            </wp:positionH>
            <wp:positionV relativeFrom="paragraph">
              <wp:posOffset>6350</wp:posOffset>
            </wp:positionV>
            <wp:extent cx="2495550" cy="1613535"/>
            <wp:effectExtent l="0" t="0" r="0" b="5715"/>
            <wp:wrapTight wrapText="bothSides">
              <wp:wrapPolygon edited="0">
                <wp:start x="0" y="0"/>
                <wp:lineTo x="0" y="21421"/>
                <wp:lineTo x="21435" y="21421"/>
                <wp:lineTo x="21435"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95550" cy="16135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87F24">
        <w:t xml:space="preserve">Incitec Pivot Fertilisers (IPF) help farmers maximise productivity by being a key supplier of Australia’s soil health and nutrition needs. Not only do IPF have extensive fertilisers range for all major farm types and conditions but also provide services such as agronomy and testing to find the right </w:t>
      </w:r>
      <w:r w:rsidR="000E66E3">
        <w:t>fertiliser</w:t>
      </w:r>
      <w:r w:rsidR="00B87F24">
        <w:t xml:space="preserve"> for the right farmer</w:t>
      </w:r>
      <w:r w:rsidR="000E66E3">
        <w:t>.</w:t>
      </w:r>
    </w:p>
    <w:p w14:paraId="3152714F" w14:textId="589A5230" w:rsidR="000E66E3" w:rsidRDefault="00CB247F" w:rsidP="00A257F3">
      <w:pPr>
        <w:spacing w:line="276" w:lineRule="auto"/>
      </w:pPr>
      <w:r>
        <w:rPr>
          <w:noProof/>
        </w:rPr>
        <w:lastRenderedPageBreak/>
        <w:drawing>
          <wp:anchor distT="0" distB="0" distL="114300" distR="114300" simplePos="0" relativeHeight="251660288" behindDoc="1" locked="0" layoutInCell="1" allowOverlap="1" wp14:anchorId="1D383DBE" wp14:editId="60F63352">
            <wp:simplePos x="0" y="0"/>
            <wp:positionH relativeFrom="column">
              <wp:posOffset>4260850</wp:posOffset>
            </wp:positionH>
            <wp:positionV relativeFrom="paragraph">
              <wp:posOffset>10160</wp:posOffset>
            </wp:positionV>
            <wp:extent cx="1778000" cy="1738630"/>
            <wp:effectExtent l="0" t="0" r="0" b="0"/>
            <wp:wrapTight wrapText="bothSides">
              <wp:wrapPolygon edited="0">
                <wp:start x="0" y="0"/>
                <wp:lineTo x="0" y="21300"/>
                <wp:lineTo x="21291" y="21300"/>
                <wp:lineTo x="21291"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78000" cy="17386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E66E3">
        <w:t xml:space="preserve">Investigating through the annual report of IPL </w:t>
      </w:r>
      <w:r w:rsidR="00F5512E">
        <w:t>it can been seen some of the stra</w:t>
      </w:r>
      <w:r w:rsidR="00460FBF">
        <w:t>te</w:t>
      </w:r>
      <w:r w:rsidR="00F5512E">
        <w:t>g</w:t>
      </w:r>
      <w:r w:rsidR="00460FBF">
        <w:t>ies they use in their company.</w:t>
      </w:r>
      <w:r w:rsidR="003E0F37">
        <w:t xml:space="preserve"> These strat</w:t>
      </w:r>
      <w:r w:rsidR="00581C4B">
        <w:t>egies are critical if a company wishes to operate globally and at the same time be successful in making a profit.</w:t>
      </w:r>
      <w:r w:rsidR="00460FBF">
        <w:t xml:space="preserve"> </w:t>
      </w:r>
      <w:r w:rsidR="00004A42">
        <w:t xml:space="preserve">The first that stands out is Zero Harm, which from the annual report seems to be an area that is of </w:t>
      </w:r>
      <w:r w:rsidR="00E72DD4">
        <w:t>extremely high</w:t>
      </w:r>
      <w:r w:rsidR="00004A42">
        <w:t xml:space="preserve"> importance for IPL. They have a number of strategic </w:t>
      </w:r>
      <w:r w:rsidR="00E72DD4">
        <w:t>drivers,</w:t>
      </w:r>
      <w:r w:rsidR="00004A42">
        <w:t xml:space="preserve"> but zero harm is discussed and measured in a number of </w:t>
      </w:r>
      <w:r w:rsidR="00574FA9">
        <w:t>times in a number of different graphs and tables throughout the report. Dealing with explosives and chemicals this is understandable and to be expected</w:t>
      </w:r>
      <w:r w:rsidR="00AA61CD">
        <w:t xml:space="preserve"> for IPL to be proactive in their strategies. From my investigations so </w:t>
      </w:r>
      <w:r w:rsidR="00395176">
        <w:t>far,</w:t>
      </w:r>
      <w:r w:rsidR="00AA61CD">
        <w:t xml:space="preserve"> I believe they are</w:t>
      </w:r>
      <w:r w:rsidR="00E72DD4">
        <w:t xml:space="preserve"> successful in their strategic plan for zero harm</w:t>
      </w:r>
      <w:r w:rsidR="00C94985">
        <w:t xml:space="preserve"> and take it very seriously</w:t>
      </w:r>
      <w:r w:rsidR="00E72DD4">
        <w:t>.</w:t>
      </w:r>
    </w:p>
    <w:p w14:paraId="37F94CE5" w14:textId="10814896" w:rsidR="00E72DD4" w:rsidRDefault="00E72DD4" w:rsidP="00A257F3">
      <w:pPr>
        <w:spacing w:line="276" w:lineRule="auto"/>
      </w:pPr>
      <w:r>
        <w:t>Environmental impact is another key</w:t>
      </w:r>
      <w:r w:rsidR="006A1A88">
        <w:t xml:space="preserve"> aspect IPL must be proactive in their strategies. IPL must, and from reading their annual report and website they are, manage issue that are most material to the long-term sustainability if its business and the environment in which they operate.</w:t>
      </w:r>
    </w:p>
    <w:p w14:paraId="4ACA5179" w14:textId="4660946A" w:rsidR="00E5125C" w:rsidRDefault="00D72090" w:rsidP="00A257F3">
      <w:pPr>
        <w:spacing w:line="276" w:lineRule="auto"/>
      </w:pPr>
      <w:r>
        <w:rPr>
          <w:noProof/>
        </w:rPr>
        <w:drawing>
          <wp:anchor distT="0" distB="0" distL="114300" distR="114300" simplePos="0" relativeHeight="251666432" behindDoc="1" locked="0" layoutInCell="1" allowOverlap="1" wp14:anchorId="487A758B" wp14:editId="7EC9C614">
            <wp:simplePos x="0" y="0"/>
            <wp:positionH relativeFrom="margin">
              <wp:posOffset>41910</wp:posOffset>
            </wp:positionH>
            <wp:positionV relativeFrom="paragraph">
              <wp:posOffset>2930525</wp:posOffset>
            </wp:positionV>
            <wp:extent cx="6184900" cy="552450"/>
            <wp:effectExtent l="0" t="0" r="6350" b="0"/>
            <wp:wrapTight wrapText="bothSides">
              <wp:wrapPolygon edited="0">
                <wp:start x="0" y="0"/>
                <wp:lineTo x="0" y="20855"/>
                <wp:lineTo x="21556" y="20855"/>
                <wp:lineTo x="21556"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84900" cy="552450"/>
                    </a:xfrm>
                    <a:prstGeom prst="rect">
                      <a:avLst/>
                    </a:prstGeom>
                    <a:noFill/>
                    <a:ln>
                      <a:noFill/>
                    </a:ln>
                  </pic:spPr>
                </pic:pic>
              </a:graphicData>
            </a:graphic>
          </wp:anchor>
        </w:drawing>
      </w:r>
      <w:r>
        <w:rPr>
          <w:noProof/>
        </w:rPr>
        <w:drawing>
          <wp:anchor distT="0" distB="0" distL="114300" distR="114300" simplePos="0" relativeHeight="251665408" behindDoc="1" locked="0" layoutInCell="1" allowOverlap="1" wp14:anchorId="20BF58E4" wp14:editId="614713A7">
            <wp:simplePos x="0" y="0"/>
            <wp:positionH relativeFrom="column">
              <wp:posOffset>-19050</wp:posOffset>
            </wp:positionH>
            <wp:positionV relativeFrom="paragraph">
              <wp:posOffset>2632075</wp:posOffset>
            </wp:positionV>
            <wp:extent cx="6184900" cy="241300"/>
            <wp:effectExtent l="0" t="0" r="6350" b="6350"/>
            <wp:wrapTight wrapText="bothSides">
              <wp:wrapPolygon edited="0">
                <wp:start x="0" y="0"/>
                <wp:lineTo x="0" y="20463"/>
                <wp:lineTo x="21556" y="20463"/>
                <wp:lineTo x="21556"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1">
                      <a:extLst>
                        <a:ext uri="{28A0092B-C50C-407E-A947-70E740481C1C}">
                          <a14:useLocalDpi xmlns:a14="http://schemas.microsoft.com/office/drawing/2010/main" val="0"/>
                        </a:ext>
                      </a:extLst>
                    </a:blip>
                    <a:srcRect t="39535" b="16280"/>
                    <a:stretch/>
                  </pic:blipFill>
                  <pic:spPr bwMode="auto">
                    <a:xfrm>
                      <a:off x="0" y="0"/>
                      <a:ext cx="6184900" cy="24130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Pr>
          <w:noProof/>
        </w:rPr>
        <w:drawing>
          <wp:anchor distT="0" distB="0" distL="114300" distR="114300" simplePos="0" relativeHeight="251663360" behindDoc="1" locked="0" layoutInCell="1" allowOverlap="1" wp14:anchorId="64C4DFF9" wp14:editId="16309815">
            <wp:simplePos x="0" y="0"/>
            <wp:positionH relativeFrom="margin">
              <wp:posOffset>16510</wp:posOffset>
            </wp:positionH>
            <wp:positionV relativeFrom="paragraph">
              <wp:posOffset>2085975</wp:posOffset>
            </wp:positionV>
            <wp:extent cx="6184900" cy="546100"/>
            <wp:effectExtent l="0" t="0" r="6350" b="6350"/>
            <wp:wrapTight wrapText="bothSides">
              <wp:wrapPolygon edited="0">
                <wp:start x="0" y="0"/>
                <wp:lineTo x="0" y="21098"/>
                <wp:lineTo x="21556" y="21098"/>
                <wp:lineTo x="21556"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84900" cy="546100"/>
                    </a:xfrm>
                    <a:prstGeom prst="rect">
                      <a:avLst/>
                    </a:prstGeom>
                    <a:noFill/>
                    <a:ln>
                      <a:noFill/>
                    </a:ln>
                  </pic:spPr>
                </pic:pic>
              </a:graphicData>
            </a:graphic>
          </wp:anchor>
        </w:drawing>
      </w:r>
      <w:r>
        <w:rPr>
          <w:noProof/>
        </w:rPr>
        <w:drawing>
          <wp:anchor distT="0" distB="0" distL="114300" distR="114300" simplePos="0" relativeHeight="251664384" behindDoc="1" locked="0" layoutInCell="1" allowOverlap="1" wp14:anchorId="18865A1E" wp14:editId="537A4EDF">
            <wp:simplePos x="0" y="0"/>
            <wp:positionH relativeFrom="column">
              <wp:posOffset>0</wp:posOffset>
            </wp:positionH>
            <wp:positionV relativeFrom="paragraph">
              <wp:posOffset>1806575</wp:posOffset>
            </wp:positionV>
            <wp:extent cx="6184900" cy="266700"/>
            <wp:effectExtent l="0" t="0" r="6350" b="0"/>
            <wp:wrapTight wrapText="bothSides">
              <wp:wrapPolygon edited="0">
                <wp:start x="0" y="0"/>
                <wp:lineTo x="0" y="20057"/>
                <wp:lineTo x="21556" y="20057"/>
                <wp:lineTo x="21556"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3">
                      <a:extLst>
                        <a:ext uri="{28A0092B-C50C-407E-A947-70E740481C1C}">
                          <a14:useLocalDpi xmlns:a14="http://schemas.microsoft.com/office/drawing/2010/main" val="0"/>
                        </a:ext>
                      </a:extLst>
                    </a:blip>
                    <a:srcRect t="34118" b="16470"/>
                    <a:stretch/>
                  </pic:blipFill>
                  <pic:spPr bwMode="auto">
                    <a:xfrm>
                      <a:off x="0" y="0"/>
                      <a:ext cx="6184900" cy="26670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C94B0F">
        <w:t>Having a look at IPL’s financial statement</w:t>
      </w:r>
      <w:r w:rsidR="003B0F32">
        <w:t xml:space="preserve"> </w:t>
      </w:r>
      <w:r w:rsidR="00C709DC">
        <w:t xml:space="preserve">both answered questions and </w:t>
      </w:r>
      <w:r w:rsidR="00EE3814">
        <w:t>produced</w:t>
      </w:r>
      <w:r w:rsidR="00C709DC">
        <w:t xml:space="preserve"> more questions. Again</w:t>
      </w:r>
      <w:r w:rsidR="00C16F21">
        <w:t>,</w:t>
      </w:r>
      <w:r w:rsidR="00C709DC">
        <w:t xml:space="preserve"> the knowledge I gained from previously reading a company’s annual report definitely helped me in this step.</w:t>
      </w:r>
      <w:r w:rsidR="00C16F21">
        <w:t xml:space="preserve"> </w:t>
      </w:r>
      <w:r w:rsidR="0005448E">
        <w:t xml:space="preserve">To begin with I looked at the </w:t>
      </w:r>
      <w:r w:rsidR="002E0558">
        <w:t>income statement and can see the revenue is increasing</w:t>
      </w:r>
      <w:r w:rsidR="00D6672C">
        <w:t xml:space="preserve"> gradually </w:t>
      </w:r>
      <w:r w:rsidR="002E0558">
        <w:t>over the past 4 years but profit for the year went up</w:t>
      </w:r>
      <w:r w:rsidR="00556BF0">
        <w:t xml:space="preserve"> by more than double from 2016 to 2017 but then a big decrease to 2018 and again to</w:t>
      </w:r>
      <w:r w:rsidR="000B7E17">
        <w:t xml:space="preserve"> 2019. Expenses seem to have increased each year so that explains </w:t>
      </w:r>
      <w:r w:rsidR="00C709DC">
        <w:t>some,</w:t>
      </w:r>
      <w:r w:rsidR="0070693C">
        <w:t xml:space="preserve"> but income tax expense/benefit amount has a </w:t>
      </w:r>
      <w:r w:rsidR="00DC6082">
        <w:t>big</w:t>
      </w:r>
      <w:r w:rsidR="0070693C">
        <w:t xml:space="preserve"> </w:t>
      </w:r>
      <w:r w:rsidR="008920DD">
        <w:t>variation</w:t>
      </w:r>
      <w:r w:rsidR="0070693C">
        <w:t xml:space="preserve"> from -</w:t>
      </w:r>
      <w:r w:rsidR="00B41C58">
        <w:t xml:space="preserve">$70.9million in </w:t>
      </w:r>
      <w:r w:rsidR="008766D2">
        <w:t>2017 to $18.1million 2018</w:t>
      </w:r>
      <w:r w:rsidR="00937283">
        <w:t>, as seen below</w:t>
      </w:r>
      <w:r w:rsidR="002A1287">
        <w:t>. Why is there such a difference in tax expenses/benefit? Most other expense</w:t>
      </w:r>
      <w:r w:rsidR="00976C23">
        <w:t xml:space="preserve"> totals</w:t>
      </w:r>
      <w:r w:rsidR="002A1287">
        <w:t xml:space="preserve"> in th</w:t>
      </w:r>
      <w:r w:rsidR="00976C23">
        <w:t>e</w:t>
      </w:r>
      <w:r w:rsidR="002A1287">
        <w:t xml:space="preserve"> income statement</w:t>
      </w:r>
      <w:r w:rsidR="00976C23">
        <w:t>s</w:t>
      </w:r>
      <w:r w:rsidR="002A1287">
        <w:t xml:space="preserve"> are similar between</w:t>
      </w:r>
      <w:r w:rsidR="003F2AB8">
        <w:t xml:space="preserve"> 2016 and 2019 expect “asset impairment write-downs</w:t>
      </w:r>
      <w:r w:rsidR="006F4DC1">
        <w:t xml:space="preserve">” </w:t>
      </w:r>
      <w:r w:rsidR="00FE37C0">
        <w:t>(restructuring costs included in this heading in 2016 and 2017)</w:t>
      </w:r>
      <w:r>
        <w:t>, is this the cause of the big difference in income tax?</w:t>
      </w:r>
    </w:p>
    <w:p w14:paraId="466DB1C7" w14:textId="5C170E29" w:rsidR="002B28F5" w:rsidRDefault="002E736F" w:rsidP="00A257F3">
      <w:pPr>
        <w:spacing w:line="276" w:lineRule="auto"/>
      </w:pPr>
      <w:r>
        <w:t xml:space="preserve">Exploring the balance </w:t>
      </w:r>
      <w:r w:rsidR="009525E6">
        <w:t>sheet,</w:t>
      </w:r>
      <w:r w:rsidR="00264BAC">
        <w:t xml:space="preserve"> I can see the </w:t>
      </w:r>
      <w:r w:rsidR="009525E6">
        <w:t>firm’s</w:t>
      </w:r>
      <w:r w:rsidR="00264BAC">
        <w:t xml:space="preserve"> assets have gently increased each year and liabilities generally have increased over the four years apart from a very minor decrease from 2016 to 2017. This asset and liability comparison shows the equity </w:t>
      </w:r>
      <w:r w:rsidR="009525E6">
        <w:t>does not</w:t>
      </w:r>
      <w:r w:rsidR="002D5362">
        <w:t xml:space="preserve"> fluctuate much over the four</w:t>
      </w:r>
      <w:r w:rsidR="009525E6">
        <w:t xml:space="preserve"> </w:t>
      </w:r>
      <w:r w:rsidR="002D5362">
        <w:t xml:space="preserve">year. I have questions about “reserves” under </w:t>
      </w:r>
      <w:r w:rsidR="009525E6">
        <w:t>e</w:t>
      </w:r>
      <w:r w:rsidR="002D5362">
        <w:t xml:space="preserve">quity heading, </w:t>
      </w:r>
      <w:r w:rsidR="009525E6">
        <w:t>I’m</w:t>
      </w:r>
      <w:r w:rsidR="002D5362">
        <w:t xml:space="preserve"> not sure what they are but go from -$187.3million to</w:t>
      </w:r>
      <w:r w:rsidR="004F600D">
        <w:t xml:space="preserve"> -$197.9million in 2016 and 201</w:t>
      </w:r>
      <w:r w:rsidR="009525E6">
        <w:t>7</w:t>
      </w:r>
      <w:r w:rsidR="004F600D">
        <w:t xml:space="preserve"> respectively to -$55.4million to -$19.9million in 2018 and 2019 respectively</w:t>
      </w:r>
      <w:r w:rsidR="009525E6">
        <w:t>. Why such a big difference when equity itself only slightly changes overall?</w:t>
      </w:r>
    </w:p>
    <w:p w14:paraId="7B872FDB" w14:textId="16712920" w:rsidR="0014522A" w:rsidRDefault="0014522A" w:rsidP="00A257F3">
      <w:pPr>
        <w:spacing w:line="276" w:lineRule="auto"/>
      </w:pPr>
      <w:r>
        <w:t xml:space="preserve">Studying the cash flow </w:t>
      </w:r>
      <w:r w:rsidR="0062653F">
        <w:t>statement,</w:t>
      </w:r>
      <w:r>
        <w:t xml:space="preserve"> I can see the profit after tax for the year of course matches the figures in the income statement under the profit</w:t>
      </w:r>
      <w:r w:rsidR="00227AA8">
        <w:t xml:space="preserve"> for the year heading. It shows 2018 was the better year over the </w:t>
      </w:r>
      <w:r w:rsidR="0062653F">
        <w:t>four-year</w:t>
      </w:r>
      <w:r w:rsidR="00227AA8">
        <w:t xml:space="preserve"> period. Investigating my tax question from the income statement</w:t>
      </w:r>
      <w:r w:rsidR="00BE6DA1">
        <w:t xml:space="preserve"> in</w:t>
      </w:r>
      <w:r w:rsidR="00227AA8">
        <w:t xml:space="preserve"> the cash flow statement</w:t>
      </w:r>
      <w:r w:rsidR="00BE6DA1">
        <w:t xml:space="preserve"> I can see in 2016 and 2017 there is a heading of “deferred tax expense/benefit</w:t>
      </w:r>
      <w:r w:rsidR="00BA6661">
        <w:t>, as well as current tax expense. Is this from a previous timeframe because it is deferred? I see adding deferred and current tax</w:t>
      </w:r>
      <w:r w:rsidR="0062653F">
        <w:t xml:space="preserve"> expense </w:t>
      </w:r>
      <w:r w:rsidR="002E0E60">
        <w:lastRenderedPageBreak/>
        <w:t xml:space="preserve">together </w:t>
      </w:r>
      <w:r w:rsidR="0062653F">
        <w:t xml:space="preserve">from cash flow equals the income tax expense/benefit in the income statement </w:t>
      </w:r>
      <w:r w:rsidR="00D17E82">
        <w:t xml:space="preserve">in 2016 and 2017 </w:t>
      </w:r>
      <w:r w:rsidR="0062653F">
        <w:t>b</w:t>
      </w:r>
      <w:r w:rsidR="00001BFB">
        <w:t>ut</w:t>
      </w:r>
      <w:r w:rsidR="0062653F">
        <w:t xml:space="preserve"> why no deferred amount in 2018 and 2019? Is it because 2017 was a benefit not an expense to be spread over the next couple years?</w:t>
      </w:r>
    </w:p>
    <w:p w14:paraId="35574AF8" w14:textId="77777777" w:rsidR="004456C7" w:rsidRDefault="004456C7" w:rsidP="00A257F3">
      <w:pPr>
        <w:spacing w:line="276" w:lineRule="auto"/>
      </w:pPr>
      <w:r>
        <w:rPr>
          <w:noProof/>
        </w:rPr>
        <w:drawing>
          <wp:anchor distT="0" distB="0" distL="114300" distR="114300" simplePos="0" relativeHeight="251667456" behindDoc="1" locked="0" layoutInCell="1" allowOverlap="1" wp14:anchorId="57C76178" wp14:editId="355CB1C6">
            <wp:simplePos x="0" y="0"/>
            <wp:positionH relativeFrom="column">
              <wp:posOffset>2654300</wp:posOffset>
            </wp:positionH>
            <wp:positionV relativeFrom="paragraph">
              <wp:posOffset>158750</wp:posOffset>
            </wp:positionV>
            <wp:extent cx="3863975" cy="2622550"/>
            <wp:effectExtent l="0" t="0" r="3175" b="6350"/>
            <wp:wrapTight wrapText="bothSides">
              <wp:wrapPolygon edited="0">
                <wp:start x="0" y="0"/>
                <wp:lineTo x="0" y="21495"/>
                <wp:lineTo x="21511" y="21495"/>
                <wp:lineTo x="21511"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b="11047"/>
                    <a:stretch/>
                  </pic:blipFill>
                  <pic:spPr bwMode="auto">
                    <a:xfrm>
                      <a:off x="0" y="0"/>
                      <a:ext cx="3863975" cy="26225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356A4">
        <w:t>One big</w:t>
      </w:r>
      <w:r w:rsidR="00C64017">
        <w:t xml:space="preserve"> factor I did see by just looking at the statements for IPL </w:t>
      </w:r>
      <w:r w:rsidR="006C1BFE">
        <w:t>is that they are all in million</w:t>
      </w:r>
      <w:r w:rsidR="00DE43FD">
        <w:t xml:space="preserve">s, to me this </w:t>
      </w:r>
      <w:r w:rsidR="00D61846">
        <w:t>straight up</w:t>
      </w:r>
      <w:r w:rsidR="00DE43FD">
        <w:t xml:space="preserve"> means they are a large and successful company. This is confirmed on their annual report “at a glance” summary where they </w:t>
      </w:r>
      <w:r w:rsidR="004F56EB">
        <w:t xml:space="preserve">state they have 5000 employees, 66 manufacturing facilities that produce 3million tonnes of ammonium </w:t>
      </w:r>
      <w:r w:rsidR="00D61846">
        <w:t>nitrate</w:t>
      </w:r>
      <w:r w:rsidR="004F56EB">
        <w:t xml:space="preserve"> and 2million tonne </w:t>
      </w:r>
      <w:r w:rsidR="005A502C">
        <w:t xml:space="preserve">of fertiliser in their world class technology program. I wonder however, what has caused their share price on ASX to drop from $3.4 on </w:t>
      </w:r>
      <w:r w:rsidR="00850E68">
        <w:t>24</w:t>
      </w:r>
      <w:r w:rsidR="00850E68" w:rsidRPr="00850E68">
        <w:rPr>
          <w:vertAlign w:val="superscript"/>
        </w:rPr>
        <w:t>th</w:t>
      </w:r>
      <w:r w:rsidR="00850E68">
        <w:t xml:space="preserve"> </w:t>
      </w:r>
      <w:r w:rsidR="005A502C">
        <w:t>January 2020 to $1</w:t>
      </w:r>
      <w:r w:rsidR="00850E68">
        <w:t>.89 on 28</w:t>
      </w:r>
      <w:r w:rsidR="00850E68" w:rsidRPr="00850E68">
        <w:rPr>
          <w:vertAlign w:val="superscript"/>
        </w:rPr>
        <w:t>th</w:t>
      </w:r>
      <w:r w:rsidR="00850E68">
        <w:t xml:space="preserve"> July 2020 investigating this further I discover a big reason is of course, COVID-19. </w:t>
      </w:r>
    </w:p>
    <w:p w14:paraId="31249047" w14:textId="668EA50C" w:rsidR="001B79EA" w:rsidRDefault="00850E68" w:rsidP="00A257F3">
      <w:pPr>
        <w:spacing w:line="276" w:lineRule="auto"/>
      </w:pPr>
      <w:r>
        <w:t>News art</w:t>
      </w:r>
      <w:r w:rsidR="00CD1D8D">
        <w:t xml:space="preserve">icle from </w:t>
      </w:r>
      <w:hyperlink r:id="rId15" w:history="1">
        <w:r w:rsidR="00CD1D8D" w:rsidRPr="007C3D27">
          <w:rPr>
            <w:rStyle w:val="Hyperlink"/>
          </w:rPr>
          <w:t>The Sydney Morning Herald</w:t>
        </w:r>
      </w:hyperlink>
      <w:r w:rsidR="007C3D27">
        <w:t xml:space="preserve"> explains IPL are strengthening their balance sheer via a $675million capital</w:t>
      </w:r>
      <w:r w:rsidR="003816A6">
        <w:t xml:space="preserve"> raise in a pre-emptive move in the uncertain economic times</w:t>
      </w:r>
      <w:r w:rsidR="005B10A3">
        <w:t>, COVID-19</w:t>
      </w:r>
      <w:r w:rsidR="003816A6">
        <w:t xml:space="preserve">. IPL also decided to not sell its fertiliser </w:t>
      </w:r>
      <w:r w:rsidR="002527E5">
        <w:t>business IPF.</w:t>
      </w:r>
      <w:r w:rsidR="00342B86">
        <w:t xml:space="preserve"> COVID-19 is really causing major economic </w:t>
      </w:r>
      <w:r w:rsidR="00D06AA8">
        <w:t>disruptions to business</w:t>
      </w:r>
      <w:r w:rsidR="008F5133">
        <w:t>es</w:t>
      </w:r>
      <w:r w:rsidR="00D06AA8">
        <w:t xml:space="preserve"> from all industries and of all sizes, so </w:t>
      </w:r>
      <w:r w:rsidR="000A2AFC">
        <w:t>it’s</w:t>
      </w:r>
      <w:r w:rsidR="00D06AA8">
        <w:t xml:space="preserve"> not a surprise to see</w:t>
      </w:r>
      <w:r w:rsidR="000A2AFC">
        <w:t xml:space="preserve"> even such a large company like IPL also have to put strategies in place.</w:t>
      </w:r>
      <w:r w:rsidR="00342B86">
        <w:t xml:space="preserve"> </w:t>
      </w:r>
      <w:r w:rsidR="002527E5">
        <w:t>From reading their article on their website</w:t>
      </w:r>
      <w:r w:rsidR="00C0028F">
        <w:t xml:space="preserve">, </w:t>
      </w:r>
      <w:hyperlink r:id="rId16" w:history="1">
        <w:r w:rsidR="00C0028F" w:rsidRPr="00B44243">
          <w:rPr>
            <w:rStyle w:val="Hyperlink"/>
          </w:rPr>
          <w:t>IPL</w:t>
        </w:r>
      </w:hyperlink>
      <w:r w:rsidR="00C0028F">
        <w:t xml:space="preserve"> have developed and continuing to put in place a number of strategies to help farmers to have a continuity supply of fertilisers</w:t>
      </w:r>
      <w:r w:rsidR="005167DE">
        <w:t xml:space="preserve"> for their crops during the COVID-19 </w:t>
      </w:r>
      <w:r w:rsidR="00B44243">
        <w:t>pandemic</w:t>
      </w:r>
      <w:r w:rsidR="005167DE">
        <w:t>.</w:t>
      </w:r>
      <w:r w:rsidR="00B44243">
        <w:t xml:space="preserve"> In another </w:t>
      </w:r>
      <w:r w:rsidR="00D301B5">
        <w:t>article</w:t>
      </w:r>
      <w:r w:rsidR="00A629EC">
        <w:t xml:space="preserve"> I found</w:t>
      </w:r>
      <w:r w:rsidR="00F324C3">
        <w:t xml:space="preserve"> (and this is pre COVID-19)</w:t>
      </w:r>
      <w:r w:rsidR="00A629EC">
        <w:t xml:space="preserve">, IPL have provided $400,000 in relief to support regional communities, farmers and customers impacted by the </w:t>
      </w:r>
      <w:hyperlink r:id="rId17" w:history="1">
        <w:r w:rsidR="00A629EC" w:rsidRPr="00A629EC">
          <w:rPr>
            <w:rStyle w:val="Hyperlink"/>
          </w:rPr>
          <w:t>bushfire crisis</w:t>
        </w:r>
      </w:hyperlink>
      <w:r w:rsidR="00A629EC">
        <w:t xml:space="preserve"> in Australia in January 2020. I </w:t>
      </w:r>
      <w:r w:rsidR="00F324C3">
        <w:t>cannot</w:t>
      </w:r>
      <w:r w:rsidR="009B7A4A">
        <w:t xml:space="preserve"> find this in the annual report of financial statements because I only have up until 2019</w:t>
      </w:r>
      <w:r w:rsidR="00424B16">
        <w:t xml:space="preserve"> but I wonder where that would show up in the financial statements? Obviously in expenses but </w:t>
      </w:r>
      <w:r w:rsidR="00BB4190">
        <w:t>have the made donations in the years I do have</w:t>
      </w:r>
      <w:r w:rsidR="002C0383">
        <w:t>? If so where would that be shown? D</w:t>
      </w:r>
      <w:r w:rsidR="00424B16">
        <w:t>o they claim is as a tax deduction</w:t>
      </w:r>
      <w:r w:rsidR="00C61118">
        <w:t xml:space="preserve">? We can claim a donation </w:t>
      </w:r>
      <w:r w:rsidR="0094651C">
        <w:t xml:space="preserve">over $2, so </w:t>
      </w:r>
      <w:r w:rsidR="00EE209C">
        <w:t>surely,</w:t>
      </w:r>
      <w:r w:rsidR="0094651C">
        <w:t xml:space="preserve"> they would claim something for such a large donation.</w:t>
      </w:r>
    </w:p>
    <w:p w14:paraId="5D37EB71" w14:textId="74309680" w:rsidR="00E356A4" w:rsidRDefault="001B79EA" w:rsidP="00A257F3">
      <w:pPr>
        <w:spacing w:line="276" w:lineRule="auto"/>
      </w:pPr>
      <w:r>
        <w:t xml:space="preserve">After spending a far bit of time looking through the annual report, financial </w:t>
      </w:r>
      <w:r w:rsidR="006C4A89">
        <w:t>statements,</w:t>
      </w:r>
      <w:r>
        <w:t xml:space="preserve"> and</w:t>
      </w:r>
      <w:r w:rsidR="00D301B5">
        <w:t xml:space="preserve"> </w:t>
      </w:r>
      <w:r w:rsidR="00A46809">
        <w:t xml:space="preserve">the company’s website I am fairly happy with where I am at this stage. </w:t>
      </w:r>
      <w:r w:rsidR="005240C9">
        <w:t>I have n</w:t>
      </w:r>
      <w:r w:rsidR="00A46809">
        <w:t xml:space="preserve">o real concerns as I know I will </w:t>
      </w:r>
      <w:r w:rsidR="005240C9">
        <w:t>dissect</w:t>
      </w:r>
      <w:r w:rsidR="00A46809">
        <w:t xml:space="preserve"> and discover</w:t>
      </w:r>
      <w:r w:rsidR="00A86660">
        <w:t xml:space="preserve"> more about my company</w:t>
      </w:r>
      <w:r w:rsidR="005240C9">
        <w:t>,</w:t>
      </w:r>
      <w:r w:rsidR="00A86660">
        <w:t xml:space="preserve"> gain a better understanding of</w:t>
      </w:r>
      <w:r w:rsidR="005240C9">
        <w:t xml:space="preserve"> how it all works and answer a lot of my questions as I process with the assignment and the unit material</w:t>
      </w:r>
      <w:r w:rsidR="00D61846">
        <w:t>.</w:t>
      </w:r>
    </w:p>
    <w:p w14:paraId="070AB1E0" w14:textId="021E5EB8" w:rsidR="00FE2AD6" w:rsidRDefault="00FE2AD6" w:rsidP="00A257F3">
      <w:pPr>
        <w:spacing w:line="276" w:lineRule="auto"/>
      </w:pPr>
      <w:r>
        <w:t>Discussions…..</w:t>
      </w:r>
    </w:p>
    <w:p w14:paraId="44722421" w14:textId="00202077" w:rsidR="00625D2A" w:rsidRDefault="00625D2A" w:rsidP="00A257F3">
      <w:pPr>
        <w:spacing w:line="276" w:lineRule="auto"/>
      </w:pPr>
    </w:p>
    <w:p w14:paraId="7519C11D" w14:textId="6EF95F08" w:rsidR="00625D2A" w:rsidRDefault="00625D2A" w:rsidP="00A257F3">
      <w:pPr>
        <w:spacing w:line="276" w:lineRule="auto"/>
      </w:pPr>
    </w:p>
    <w:sectPr w:rsidR="00625D2A" w:rsidSect="00395176">
      <w:headerReference w:type="default" r:id="rId18"/>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5187CA7" w14:textId="77777777" w:rsidR="00E71416" w:rsidRDefault="00E71416" w:rsidP="00E43F72">
      <w:pPr>
        <w:spacing w:after="0" w:line="240" w:lineRule="auto"/>
      </w:pPr>
      <w:r>
        <w:separator/>
      </w:r>
    </w:p>
  </w:endnote>
  <w:endnote w:type="continuationSeparator" w:id="0">
    <w:p w14:paraId="39E322B5" w14:textId="77777777" w:rsidR="00E71416" w:rsidRDefault="00E71416" w:rsidP="00E43F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52CFF9" w14:textId="77777777" w:rsidR="00E71416" w:rsidRDefault="00E71416" w:rsidP="00E43F72">
      <w:pPr>
        <w:spacing w:after="0" w:line="240" w:lineRule="auto"/>
      </w:pPr>
      <w:r>
        <w:separator/>
      </w:r>
    </w:p>
  </w:footnote>
  <w:footnote w:type="continuationSeparator" w:id="0">
    <w:p w14:paraId="026DC968" w14:textId="77777777" w:rsidR="00E71416" w:rsidRDefault="00E71416" w:rsidP="00E43F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765CB3" w14:textId="75B15154" w:rsidR="00E43F72" w:rsidRDefault="00E43F72">
    <w:pPr>
      <w:pStyle w:val="Header"/>
    </w:pPr>
    <w:r>
      <w:t>ACCT110</w:t>
    </w:r>
    <w:r w:rsidR="00254E1B">
      <w:t>81</w:t>
    </w:r>
    <w:r>
      <w:t xml:space="preserve"> – </w:t>
    </w:r>
    <w:r w:rsidR="008A5AAD">
      <w:t>Introductory Financial Accounting</w:t>
    </w:r>
    <w:r w:rsidR="00914AA9">
      <w:tab/>
    </w:r>
  </w:p>
  <w:p w14:paraId="78D80623" w14:textId="77777777" w:rsidR="00E43F72" w:rsidRDefault="00E43F7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0DFA"/>
    <w:rsid w:val="00001BFB"/>
    <w:rsid w:val="000021CC"/>
    <w:rsid w:val="00002EA3"/>
    <w:rsid w:val="00004A42"/>
    <w:rsid w:val="000063B2"/>
    <w:rsid w:val="0000664E"/>
    <w:rsid w:val="0002237D"/>
    <w:rsid w:val="00033110"/>
    <w:rsid w:val="000342A5"/>
    <w:rsid w:val="00035738"/>
    <w:rsid w:val="00035CFB"/>
    <w:rsid w:val="00037EDA"/>
    <w:rsid w:val="000412D6"/>
    <w:rsid w:val="000523DF"/>
    <w:rsid w:val="0005448E"/>
    <w:rsid w:val="00056CFF"/>
    <w:rsid w:val="00064922"/>
    <w:rsid w:val="00066904"/>
    <w:rsid w:val="00066D76"/>
    <w:rsid w:val="000672C4"/>
    <w:rsid w:val="000700E0"/>
    <w:rsid w:val="00070D9D"/>
    <w:rsid w:val="00073478"/>
    <w:rsid w:val="00083B55"/>
    <w:rsid w:val="00085346"/>
    <w:rsid w:val="000877A1"/>
    <w:rsid w:val="000909DC"/>
    <w:rsid w:val="00090D0F"/>
    <w:rsid w:val="0009153B"/>
    <w:rsid w:val="00091767"/>
    <w:rsid w:val="0009303E"/>
    <w:rsid w:val="000A2AFC"/>
    <w:rsid w:val="000A7453"/>
    <w:rsid w:val="000A7F1C"/>
    <w:rsid w:val="000B450F"/>
    <w:rsid w:val="000B7E17"/>
    <w:rsid w:val="000C079B"/>
    <w:rsid w:val="000C506C"/>
    <w:rsid w:val="000C657D"/>
    <w:rsid w:val="000C6CF5"/>
    <w:rsid w:val="000D02E6"/>
    <w:rsid w:val="000D15C0"/>
    <w:rsid w:val="000E231F"/>
    <w:rsid w:val="000E258E"/>
    <w:rsid w:val="000E66E3"/>
    <w:rsid w:val="000E7181"/>
    <w:rsid w:val="000F462D"/>
    <w:rsid w:val="000F7523"/>
    <w:rsid w:val="0010476D"/>
    <w:rsid w:val="00112C32"/>
    <w:rsid w:val="001154B9"/>
    <w:rsid w:val="00121CD5"/>
    <w:rsid w:val="00131317"/>
    <w:rsid w:val="00132CF7"/>
    <w:rsid w:val="00134DC7"/>
    <w:rsid w:val="00135449"/>
    <w:rsid w:val="0014451F"/>
    <w:rsid w:val="0014522A"/>
    <w:rsid w:val="0015091B"/>
    <w:rsid w:val="001705B7"/>
    <w:rsid w:val="0017128F"/>
    <w:rsid w:val="0018501F"/>
    <w:rsid w:val="001871EB"/>
    <w:rsid w:val="00191969"/>
    <w:rsid w:val="00193ED3"/>
    <w:rsid w:val="001B79EA"/>
    <w:rsid w:val="001C0043"/>
    <w:rsid w:val="001C50D3"/>
    <w:rsid w:val="001D30F1"/>
    <w:rsid w:val="001D3B46"/>
    <w:rsid w:val="001E06B2"/>
    <w:rsid w:val="001E404C"/>
    <w:rsid w:val="001E5CA9"/>
    <w:rsid w:val="001E668C"/>
    <w:rsid w:val="001F6775"/>
    <w:rsid w:val="002042EC"/>
    <w:rsid w:val="00212EF5"/>
    <w:rsid w:val="002141C4"/>
    <w:rsid w:val="002156E8"/>
    <w:rsid w:val="00222529"/>
    <w:rsid w:val="00222FA7"/>
    <w:rsid w:val="0022472F"/>
    <w:rsid w:val="002259FE"/>
    <w:rsid w:val="00227AA8"/>
    <w:rsid w:val="0024042A"/>
    <w:rsid w:val="002430D5"/>
    <w:rsid w:val="002438CF"/>
    <w:rsid w:val="002442BE"/>
    <w:rsid w:val="00247081"/>
    <w:rsid w:val="00250AFB"/>
    <w:rsid w:val="002527E5"/>
    <w:rsid w:val="00252C25"/>
    <w:rsid w:val="00254E1B"/>
    <w:rsid w:val="00264BAC"/>
    <w:rsid w:val="002761A6"/>
    <w:rsid w:val="00277122"/>
    <w:rsid w:val="002777F6"/>
    <w:rsid w:val="00282BE2"/>
    <w:rsid w:val="0028493A"/>
    <w:rsid w:val="00292000"/>
    <w:rsid w:val="0029473F"/>
    <w:rsid w:val="0029550D"/>
    <w:rsid w:val="002A1287"/>
    <w:rsid w:val="002B28F5"/>
    <w:rsid w:val="002C0383"/>
    <w:rsid w:val="002D0A30"/>
    <w:rsid w:val="002D23EF"/>
    <w:rsid w:val="002D5362"/>
    <w:rsid w:val="002E0558"/>
    <w:rsid w:val="002E0E60"/>
    <w:rsid w:val="002E1A04"/>
    <w:rsid w:val="002E2744"/>
    <w:rsid w:val="002E362E"/>
    <w:rsid w:val="002E736F"/>
    <w:rsid w:val="002F3C57"/>
    <w:rsid w:val="002F6810"/>
    <w:rsid w:val="00305CFE"/>
    <w:rsid w:val="00317E84"/>
    <w:rsid w:val="003234EB"/>
    <w:rsid w:val="0032675B"/>
    <w:rsid w:val="00327E5B"/>
    <w:rsid w:val="00327F00"/>
    <w:rsid w:val="00336065"/>
    <w:rsid w:val="00336D4E"/>
    <w:rsid w:val="00342B86"/>
    <w:rsid w:val="00343A09"/>
    <w:rsid w:val="00352BDD"/>
    <w:rsid w:val="0035478E"/>
    <w:rsid w:val="00356FDC"/>
    <w:rsid w:val="00370AAD"/>
    <w:rsid w:val="003746AA"/>
    <w:rsid w:val="00376478"/>
    <w:rsid w:val="003816A6"/>
    <w:rsid w:val="00382DE3"/>
    <w:rsid w:val="00386358"/>
    <w:rsid w:val="003945AB"/>
    <w:rsid w:val="00395176"/>
    <w:rsid w:val="003A132B"/>
    <w:rsid w:val="003A5CDE"/>
    <w:rsid w:val="003A6F47"/>
    <w:rsid w:val="003B0F32"/>
    <w:rsid w:val="003B27D4"/>
    <w:rsid w:val="003B2983"/>
    <w:rsid w:val="003D30EF"/>
    <w:rsid w:val="003D5774"/>
    <w:rsid w:val="003E0F37"/>
    <w:rsid w:val="003F2AB8"/>
    <w:rsid w:val="00405DC5"/>
    <w:rsid w:val="00411B3D"/>
    <w:rsid w:val="00424B16"/>
    <w:rsid w:val="004264CA"/>
    <w:rsid w:val="00431B0A"/>
    <w:rsid w:val="00432FF6"/>
    <w:rsid w:val="00435178"/>
    <w:rsid w:val="0044109E"/>
    <w:rsid w:val="0044155B"/>
    <w:rsid w:val="0044298F"/>
    <w:rsid w:val="004456C7"/>
    <w:rsid w:val="00446972"/>
    <w:rsid w:val="004514CB"/>
    <w:rsid w:val="004525F2"/>
    <w:rsid w:val="004576DD"/>
    <w:rsid w:val="0046098F"/>
    <w:rsid w:val="00460FBF"/>
    <w:rsid w:val="004668DC"/>
    <w:rsid w:val="004730F0"/>
    <w:rsid w:val="00473365"/>
    <w:rsid w:val="004745AB"/>
    <w:rsid w:val="00482A3B"/>
    <w:rsid w:val="00496744"/>
    <w:rsid w:val="004A5817"/>
    <w:rsid w:val="004B2AD7"/>
    <w:rsid w:val="004B3B78"/>
    <w:rsid w:val="004B3C89"/>
    <w:rsid w:val="004B65C5"/>
    <w:rsid w:val="004B7665"/>
    <w:rsid w:val="004B792A"/>
    <w:rsid w:val="004C4556"/>
    <w:rsid w:val="004C6DB9"/>
    <w:rsid w:val="004D1531"/>
    <w:rsid w:val="004E3140"/>
    <w:rsid w:val="004E522F"/>
    <w:rsid w:val="004E5B91"/>
    <w:rsid w:val="004F05E5"/>
    <w:rsid w:val="004F4405"/>
    <w:rsid w:val="004F56EB"/>
    <w:rsid w:val="004F600D"/>
    <w:rsid w:val="004F6E57"/>
    <w:rsid w:val="00506459"/>
    <w:rsid w:val="00506B4F"/>
    <w:rsid w:val="00507CF5"/>
    <w:rsid w:val="00510BA6"/>
    <w:rsid w:val="00513B18"/>
    <w:rsid w:val="0051522F"/>
    <w:rsid w:val="005167DE"/>
    <w:rsid w:val="00517BE3"/>
    <w:rsid w:val="005210CC"/>
    <w:rsid w:val="005240C9"/>
    <w:rsid w:val="00546A7C"/>
    <w:rsid w:val="00555306"/>
    <w:rsid w:val="00556BF0"/>
    <w:rsid w:val="00571B0B"/>
    <w:rsid w:val="00573A1A"/>
    <w:rsid w:val="00574FA9"/>
    <w:rsid w:val="00581C4B"/>
    <w:rsid w:val="00583315"/>
    <w:rsid w:val="00583FFD"/>
    <w:rsid w:val="00592410"/>
    <w:rsid w:val="00594B93"/>
    <w:rsid w:val="00595BB3"/>
    <w:rsid w:val="005A502C"/>
    <w:rsid w:val="005A517C"/>
    <w:rsid w:val="005A79C3"/>
    <w:rsid w:val="005B10A3"/>
    <w:rsid w:val="005B63DE"/>
    <w:rsid w:val="005C0A63"/>
    <w:rsid w:val="005D0188"/>
    <w:rsid w:val="005D19F6"/>
    <w:rsid w:val="005D6122"/>
    <w:rsid w:val="005E0997"/>
    <w:rsid w:val="005E2405"/>
    <w:rsid w:val="005E255A"/>
    <w:rsid w:val="005F4925"/>
    <w:rsid w:val="005F6F02"/>
    <w:rsid w:val="00603F13"/>
    <w:rsid w:val="00616754"/>
    <w:rsid w:val="00620F9B"/>
    <w:rsid w:val="006224AA"/>
    <w:rsid w:val="00625D2A"/>
    <w:rsid w:val="0062653F"/>
    <w:rsid w:val="006447A0"/>
    <w:rsid w:val="00651C69"/>
    <w:rsid w:val="00660A70"/>
    <w:rsid w:val="00674839"/>
    <w:rsid w:val="00676CD4"/>
    <w:rsid w:val="006808CC"/>
    <w:rsid w:val="006824CF"/>
    <w:rsid w:val="006A0EF2"/>
    <w:rsid w:val="006A1A88"/>
    <w:rsid w:val="006A4936"/>
    <w:rsid w:val="006A49D1"/>
    <w:rsid w:val="006A4D96"/>
    <w:rsid w:val="006A7DEF"/>
    <w:rsid w:val="006B1CD0"/>
    <w:rsid w:val="006B2AE2"/>
    <w:rsid w:val="006C1BFE"/>
    <w:rsid w:val="006C2B2E"/>
    <w:rsid w:val="006C3429"/>
    <w:rsid w:val="006C4A89"/>
    <w:rsid w:val="006D0183"/>
    <w:rsid w:val="006D6A9A"/>
    <w:rsid w:val="006E0C77"/>
    <w:rsid w:val="006E1EFC"/>
    <w:rsid w:val="006E3C1C"/>
    <w:rsid w:val="006E5438"/>
    <w:rsid w:val="006F4DC1"/>
    <w:rsid w:val="006F6BA5"/>
    <w:rsid w:val="0070441E"/>
    <w:rsid w:val="0070693C"/>
    <w:rsid w:val="007140ED"/>
    <w:rsid w:val="00726C55"/>
    <w:rsid w:val="00727F78"/>
    <w:rsid w:val="00736511"/>
    <w:rsid w:val="00757714"/>
    <w:rsid w:val="007630A5"/>
    <w:rsid w:val="007733AE"/>
    <w:rsid w:val="00775D16"/>
    <w:rsid w:val="0079583B"/>
    <w:rsid w:val="007A0DFA"/>
    <w:rsid w:val="007A23A5"/>
    <w:rsid w:val="007C3D27"/>
    <w:rsid w:val="007C6E51"/>
    <w:rsid w:val="007D38A4"/>
    <w:rsid w:val="007D3BDC"/>
    <w:rsid w:val="007D4A53"/>
    <w:rsid w:val="007E04E5"/>
    <w:rsid w:val="007F47E1"/>
    <w:rsid w:val="00816789"/>
    <w:rsid w:val="00817930"/>
    <w:rsid w:val="00823902"/>
    <w:rsid w:val="00823A26"/>
    <w:rsid w:val="00824270"/>
    <w:rsid w:val="00824803"/>
    <w:rsid w:val="0083257D"/>
    <w:rsid w:val="008500F7"/>
    <w:rsid w:val="00850E68"/>
    <w:rsid w:val="0085482D"/>
    <w:rsid w:val="008602C3"/>
    <w:rsid w:val="0086417D"/>
    <w:rsid w:val="00872F61"/>
    <w:rsid w:val="008766D2"/>
    <w:rsid w:val="00883F99"/>
    <w:rsid w:val="008860C6"/>
    <w:rsid w:val="00886AAF"/>
    <w:rsid w:val="0088769B"/>
    <w:rsid w:val="0089194D"/>
    <w:rsid w:val="00891B39"/>
    <w:rsid w:val="008920DD"/>
    <w:rsid w:val="00895476"/>
    <w:rsid w:val="008962CF"/>
    <w:rsid w:val="008A0139"/>
    <w:rsid w:val="008A5AAD"/>
    <w:rsid w:val="008A673D"/>
    <w:rsid w:val="008A6B64"/>
    <w:rsid w:val="008B6D81"/>
    <w:rsid w:val="008B74EA"/>
    <w:rsid w:val="008C7502"/>
    <w:rsid w:val="008F2251"/>
    <w:rsid w:val="008F3CDC"/>
    <w:rsid w:val="008F5133"/>
    <w:rsid w:val="00914AA9"/>
    <w:rsid w:val="00925A41"/>
    <w:rsid w:val="00927739"/>
    <w:rsid w:val="00937283"/>
    <w:rsid w:val="0094651C"/>
    <w:rsid w:val="009525E6"/>
    <w:rsid w:val="00952978"/>
    <w:rsid w:val="00967697"/>
    <w:rsid w:val="00971934"/>
    <w:rsid w:val="00974520"/>
    <w:rsid w:val="0097485D"/>
    <w:rsid w:val="00976C23"/>
    <w:rsid w:val="009779EB"/>
    <w:rsid w:val="009819F8"/>
    <w:rsid w:val="0098697A"/>
    <w:rsid w:val="00987CD2"/>
    <w:rsid w:val="009A07AA"/>
    <w:rsid w:val="009A57C7"/>
    <w:rsid w:val="009B14AF"/>
    <w:rsid w:val="009B2BF4"/>
    <w:rsid w:val="009B7A4A"/>
    <w:rsid w:val="009B7D12"/>
    <w:rsid w:val="009C2A1E"/>
    <w:rsid w:val="009C67BD"/>
    <w:rsid w:val="009D49B5"/>
    <w:rsid w:val="009E4024"/>
    <w:rsid w:val="009E5CC7"/>
    <w:rsid w:val="009E7C19"/>
    <w:rsid w:val="009F07C7"/>
    <w:rsid w:val="009F6385"/>
    <w:rsid w:val="00A1242C"/>
    <w:rsid w:val="00A1329F"/>
    <w:rsid w:val="00A1583B"/>
    <w:rsid w:val="00A20A18"/>
    <w:rsid w:val="00A257F3"/>
    <w:rsid w:val="00A36098"/>
    <w:rsid w:val="00A46809"/>
    <w:rsid w:val="00A56BA1"/>
    <w:rsid w:val="00A60F8A"/>
    <w:rsid w:val="00A629EC"/>
    <w:rsid w:val="00A66E7B"/>
    <w:rsid w:val="00A847B6"/>
    <w:rsid w:val="00A86660"/>
    <w:rsid w:val="00A875B0"/>
    <w:rsid w:val="00A90ED9"/>
    <w:rsid w:val="00A920CD"/>
    <w:rsid w:val="00AA61CD"/>
    <w:rsid w:val="00AB099A"/>
    <w:rsid w:val="00AB3974"/>
    <w:rsid w:val="00AB7C83"/>
    <w:rsid w:val="00AD2BBF"/>
    <w:rsid w:val="00AD4170"/>
    <w:rsid w:val="00AD7053"/>
    <w:rsid w:val="00AE4683"/>
    <w:rsid w:val="00AE5E2D"/>
    <w:rsid w:val="00B02126"/>
    <w:rsid w:val="00B16865"/>
    <w:rsid w:val="00B25F79"/>
    <w:rsid w:val="00B30CB4"/>
    <w:rsid w:val="00B343C1"/>
    <w:rsid w:val="00B350DC"/>
    <w:rsid w:val="00B41130"/>
    <w:rsid w:val="00B41C58"/>
    <w:rsid w:val="00B44243"/>
    <w:rsid w:val="00B61FF0"/>
    <w:rsid w:val="00B63091"/>
    <w:rsid w:val="00B6745A"/>
    <w:rsid w:val="00B71467"/>
    <w:rsid w:val="00B87F24"/>
    <w:rsid w:val="00B94654"/>
    <w:rsid w:val="00BA6661"/>
    <w:rsid w:val="00BB31F4"/>
    <w:rsid w:val="00BB4190"/>
    <w:rsid w:val="00BB5DD2"/>
    <w:rsid w:val="00BC1FDA"/>
    <w:rsid w:val="00BC38E9"/>
    <w:rsid w:val="00BC71E5"/>
    <w:rsid w:val="00BD15BE"/>
    <w:rsid w:val="00BD286C"/>
    <w:rsid w:val="00BD767A"/>
    <w:rsid w:val="00BD76FD"/>
    <w:rsid w:val="00BE6DA1"/>
    <w:rsid w:val="00BF0374"/>
    <w:rsid w:val="00C0028F"/>
    <w:rsid w:val="00C03BB3"/>
    <w:rsid w:val="00C079A6"/>
    <w:rsid w:val="00C11F79"/>
    <w:rsid w:val="00C12815"/>
    <w:rsid w:val="00C16F21"/>
    <w:rsid w:val="00C21570"/>
    <w:rsid w:val="00C2163F"/>
    <w:rsid w:val="00C405CA"/>
    <w:rsid w:val="00C52D7F"/>
    <w:rsid w:val="00C61118"/>
    <w:rsid w:val="00C62806"/>
    <w:rsid w:val="00C63CEB"/>
    <w:rsid w:val="00C64017"/>
    <w:rsid w:val="00C67635"/>
    <w:rsid w:val="00C709DC"/>
    <w:rsid w:val="00C72A59"/>
    <w:rsid w:val="00C75095"/>
    <w:rsid w:val="00C76777"/>
    <w:rsid w:val="00C76B72"/>
    <w:rsid w:val="00C77489"/>
    <w:rsid w:val="00C809E9"/>
    <w:rsid w:val="00C8119A"/>
    <w:rsid w:val="00C8465C"/>
    <w:rsid w:val="00C91F15"/>
    <w:rsid w:val="00C94985"/>
    <w:rsid w:val="00C94B0F"/>
    <w:rsid w:val="00C94FE1"/>
    <w:rsid w:val="00CA5E75"/>
    <w:rsid w:val="00CB00F3"/>
    <w:rsid w:val="00CB0FF9"/>
    <w:rsid w:val="00CB247F"/>
    <w:rsid w:val="00CD1D8D"/>
    <w:rsid w:val="00CD2B27"/>
    <w:rsid w:val="00CE4BD5"/>
    <w:rsid w:val="00CE5503"/>
    <w:rsid w:val="00CE5902"/>
    <w:rsid w:val="00CE6050"/>
    <w:rsid w:val="00CF029E"/>
    <w:rsid w:val="00CF2112"/>
    <w:rsid w:val="00CF319D"/>
    <w:rsid w:val="00CF34DB"/>
    <w:rsid w:val="00CF76F7"/>
    <w:rsid w:val="00D01FD3"/>
    <w:rsid w:val="00D06AA8"/>
    <w:rsid w:val="00D12121"/>
    <w:rsid w:val="00D1251C"/>
    <w:rsid w:val="00D17112"/>
    <w:rsid w:val="00D17E82"/>
    <w:rsid w:val="00D211FD"/>
    <w:rsid w:val="00D243BC"/>
    <w:rsid w:val="00D24DBD"/>
    <w:rsid w:val="00D301B5"/>
    <w:rsid w:val="00D30BBA"/>
    <w:rsid w:val="00D32881"/>
    <w:rsid w:val="00D56D71"/>
    <w:rsid w:val="00D61846"/>
    <w:rsid w:val="00D658FE"/>
    <w:rsid w:val="00D6672C"/>
    <w:rsid w:val="00D7186A"/>
    <w:rsid w:val="00D72090"/>
    <w:rsid w:val="00D73C86"/>
    <w:rsid w:val="00D80A9B"/>
    <w:rsid w:val="00D91589"/>
    <w:rsid w:val="00D93BB1"/>
    <w:rsid w:val="00DA4BCD"/>
    <w:rsid w:val="00DB20F3"/>
    <w:rsid w:val="00DC29BE"/>
    <w:rsid w:val="00DC6082"/>
    <w:rsid w:val="00DC6282"/>
    <w:rsid w:val="00DD3D9E"/>
    <w:rsid w:val="00DD3EE9"/>
    <w:rsid w:val="00DE43FD"/>
    <w:rsid w:val="00DE4A99"/>
    <w:rsid w:val="00DF277D"/>
    <w:rsid w:val="00DF7118"/>
    <w:rsid w:val="00E1625C"/>
    <w:rsid w:val="00E301FE"/>
    <w:rsid w:val="00E32E02"/>
    <w:rsid w:val="00E356A4"/>
    <w:rsid w:val="00E363CE"/>
    <w:rsid w:val="00E377D2"/>
    <w:rsid w:val="00E42B9B"/>
    <w:rsid w:val="00E43F72"/>
    <w:rsid w:val="00E448E1"/>
    <w:rsid w:val="00E44D17"/>
    <w:rsid w:val="00E5125C"/>
    <w:rsid w:val="00E52DEE"/>
    <w:rsid w:val="00E553E6"/>
    <w:rsid w:val="00E62A41"/>
    <w:rsid w:val="00E632CC"/>
    <w:rsid w:val="00E662F5"/>
    <w:rsid w:val="00E71416"/>
    <w:rsid w:val="00E72DD4"/>
    <w:rsid w:val="00E73419"/>
    <w:rsid w:val="00E76F23"/>
    <w:rsid w:val="00E77F1C"/>
    <w:rsid w:val="00E814E6"/>
    <w:rsid w:val="00E91581"/>
    <w:rsid w:val="00E953CB"/>
    <w:rsid w:val="00EA0BD9"/>
    <w:rsid w:val="00EA4344"/>
    <w:rsid w:val="00EB4DFC"/>
    <w:rsid w:val="00EC5F76"/>
    <w:rsid w:val="00ED0944"/>
    <w:rsid w:val="00EE17F2"/>
    <w:rsid w:val="00EE209C"/>
    <w:rsid w:val="00EE2188"/>
    <w:rsid w:val="00EE3814"/>
    <w:rsid w:val="00EE57D4"/>
    <w:rsid w:val="00EF10EC"/>
    <w:rsid w:val="00EF18B5"/>
    <w:rsid w:val="00EF24D4"/>
    <w:rsid w:val="00F03042"/>
    <w:rsid w:val="00F10C0C"/>
    <w:rsid w:val="00F10CE1"/>
    <w:rsid w:val="00F112ED"/>
    <w:rsid w:val="00F1587D"/>
    <w:rsid w:val="00F241DC"/>
    <w:rsid w:val="00F324C3"/>
    <w:rsid w:val="00F34A42"/>
    <w:rsid w:val="00F413E5"/>
    <w:rsid w:val="00F41EB8"/>
    <w:rsid w:val="00F4434A"/>
    <w:rsid w:val="00F4472B"/>
    <w:rsid w:val="00F479C3"/>
    <w:rsid w:val="00F47D31"/>
    <w:rsid w:val="00F53D8B"/>
    <w:rsid w:val="00F5512E"/>
    <w:rsid w:val="00F63B09"/>
    <w:rsid w:val="00F669E9"/>
    <w:rsid w:val="00F77A4F"/>
    <w:rsid w:val="00F87BB8"/>
    <w:rsid w:val="00F97F50"/>
    <w:rsid w:val="00FA2D63"/>
    <w:rsid w:val="00FA438E"/>
    <w:rsid w:val="00FA5D5D"/>
    <w:rsid w:val="00FA709E"/>
    <w:rsid w:val="00FB66D0"/>
    <w:rsid w:val="00FC551A"/>
    <w:rsid w:val="00FC6E5F"/>
    <w:rsid w:val="00FC7892"/>
    <w:rsid w:val="00FD0E60"/>
    <w:rsid w:val="00FD1D54"/>
    <w:rsid w:val="00FE2AD6"/>
    <w:rsid w:val="00FE37C0"/>
    <w:rsid w:val="00FF5C23"/>
    <w:rsid w:val="00FF7A2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E62490"/>
  <w15:chartTrackingRefBased/>
  <w15:docId w15:val="{17544CDF-4831-417A-8438-C42619890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43F72"/>
    <w:pPr>
      <w:tabs>
        <w:tab w:val="center" w:pos="4513"/>
        <w:tab w:val="right" w:pos="9026"/>
      </w:tabs>
      <w:spacing w:after="0" w:line="240" w:lineRule="auto"/>
    </w:pPr>
  </w:style>
  <w:style w:type="character" w:customStyle="1" w:styleId="HeaderChar">
    <w:name w:val="Header Char"/>
    <w:basedOn w:val="DefaultParagraphFont"/>
    <w:link w:val="Header"/>
    <w:uiPriority w:val="99"/>
    <w:rsid w:val="00E43F72"/>
  </w:style>
  <w:style w:type="paragraph" w:styleId="Footer">
    <w:name w:val="footer"/>
    <w:basedOn w:val="Normal"/>
    <w:link w:val="FooterChar"/>
    <w:uiPriority w:val="99"/>
    <w:unhideWhenUsed/>
    <w:rsid w:val="00E43F7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43F72"/>
  </w:style>
  <w:style w:type="character" w:styleId="Hyperlink">
    <w:name w:val="Hyperlink"/>
    <w:basedOn w:val="DefaultParagraphFont"/>
    <w:uiPriority w:val="99"/>
    <w:unhideWhenUsed/>
    <w:rsid w:val="0088769B"/>
    <w:rPr>
      <w:color w:val="0000FF"/>
      <w:u w:val="single"/>
    </w:rPr>
  </w:style>
  <w:style w:type="character" w:styleId="UnresolvedMention">
    <w:name w:val="Unresolved Mention"/>
    <w:basedOn w:val="DefaultParagraphFont"/>
    <w:uiPriority w:val="99"/>
    <w:semiHidden/>
    <w:unhideWhenUsed/>
    <w:rsid w:val="00625D2A"/>
    <w:rPr>
      <w:color w:val="605E5C"/>
      <w:shd w:val="clear" w:color="auto" w:fill="E1DFDD"/>
    </w:rPr>
  </w:style>
  <w:style w:type="character" w:styleId="FollowedHyperlink">
    <w:name w:val="FollowedHyperlink"/>
    <w:basedOn w:val="DefaultParagraphFont"/>
    <w:uiPriority w:val="99"/>
    <w:semiHidden/>
    <w:unhideWhenUsed/>
    <w:rsid w:val="00CD1D8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yperlink" Target="https://www.incitecpivot.com.au/about-us/about-incitec-pivot-limited/media/incitec-pivot-contributes-400000-for-bushfire-recovery-to-help-communities-farmers-customers" TargetMode="External"/><Relationship Id="rId2" Type="http://schemas.openxmlformats.org/officeDocument/2006/relationships/styles" Target="styles.xml"/><Relationship Id="rId16" Type="http://schemas.openxmlformats.org/officeDocument/2006/relationships/hyperlink" Target="https://www.incitecpivotfertilisers.com.au/news-and-insights/latest-news/IPF%20Response%20to%20COVID-19"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yperlink" Target="https://www.smh.com.au/business/companies/incitec-pivot-seeks-675m-to-strengthen-balance-sheet-profit-up-20200511-p54rpp.html" TargetMode="External"/><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846641-5972-41A3-BB7E-315CE932DF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3</Pages>
  <Words>1246</Words>
  <Characters>7103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Shaun Sergiacomi</dc:creator>
  <cp:keywords/>
  <dc:description/>
  <cp:lastModifiedBy>Shaun and Mel Sergiacomi</cp:lastModifiedBy>
  <cp:revision>126</cp:revision>
  <dcterms:created xsi:type="dcterms:W3CDTF">2020-07-28T12:36:00Z</dcterms:created>
  <dcterms:modified xsi:type="dcterms:W3CDTF">2020-07-30T12:01:00Z</dcterms:modified>
</cp:coreProperties>
</file>